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尊敬的公司领导</w:t>
      </w:r>
    </w:p>
    <w:p>
      <w:r>
        <w:rPr>
          <w:rFonts w:hint="eastAsia"/>
        </w:rPr>
        <w:t xml:space="preserve"> </w:t>
      </w:r>
      <w:r>
        <w:t xml:space="preserve">     </w:t>
      </w:r>
      <w:r>
        <w:rPr>
          <w:rFonts w:hint="eastAsia"/>
        </w:rPr>
        <w:t>2018年糖巧订货即将开始，考虑目前公司产品涨价及现有政策可能无法诱导客户打款进而影响糖巧任务的达成，现特向公司申请2018财年糖巧打款及发货政策，明细如下：</w:t>
      </w:r>
    </w:p>
    <w:p>
      <w:pPr>
        <w:pStyle w:val="4"/>
        <w:numPr>
          <w:ilvl w:val="0"/>
          <w:numId w:val="1"/>
        </w:numPr>
        <w:ind w:firstLineChars="0"/>
      </w:pPr>
      <w:r>
        <w:rPr>
          <w:rFonts w:hint="eastAsia"/>
        </w:rPr>
        <w:t>由于2018年7月10日-20日打款客户款项，多用于果冻及其他项目食品发货，余下少量帐余用于糖巧发货。现申请自2018年9月1日起，现有客户现金帐余转为糖巧专款，该部分专款变更为客户2018年10月31日之前回款，客户享受以下回款奖励，客户不在享受。</w:t>
      </w:r>
    </w:p>
    <w:p>
      <w:pPr>
        <w:pStyle w:val="4"/>
        <w:numPr>
          <w:ilvl w:val="0"/>
          <w:numId w:val="1"/>
        </w:numPr>
        <w:ind w:firstLineChars="0"/>
      </w:pPr>
      <w:r>
        <w:rPr>
          <w:rFonts w:hint="eastAsia"/>
        </w:rPr>
        <w:t>回款奖励政策：</w:t>
      </w:r>
    </w:p>
    <w:p>
      <w:pPr>
        <w:pStyle w:val="4"/>
        <w:numPr>
          <w:ilvl w:val="0"/>
          <w:numId w:val="2"/>
        </w:numPr>
        <w:ind w:firstLineChars="0"/>
      </w:pPr>
      <w:r>
        <w:rPr>
          <w:rFonts w:hint="eastAsia"/>
        </w:rPr>
        <w:t>回款计算时间为2018.9.1-2018.10.31。</w:t>
      </w:r>
    </w:p>
    <w:p>
      <w:pPr>
        <w:pStyle w:val="4"/>
        <w:numPr>
          <w:ilvl w:val="0"/>
          <w:numId w:val="2"/>
        </w:numPr>
        <w:ind w:firstLineChars="0"/>
      </w:pPr>
      <w:r>
        <w:rPr>
          <w:rFonts w:hint="eastAsia"/>
        </w:rPr>
        <w:t>回款小票需要备注糖巧专款。符合时间内的回款金额可累计。2018年11月5日之前公司财务以货款方式</w:t>
      </w:r>
      <w:bookmarkStart w:id="0" w:name="_Hlk524170689"/>
      <w:r>
        <w:rPr>
          <w:rFonts w:hint="eastAsia"/>
        </w:rPr>
        <w:t>上现金账，无需提供核销材料。</w:t>
      </w:r>
      <w:bookmarkEnd w:id="0"/>
    </w:p>
    <w:p>
      <w:pPr>
        <w:pStyle w:val="4"/>
        <w:numPr>
          <w:ilvl w:val="0"/>
          <w:numId w:val="2"/>
        </w:numPr>
        <w:ind w:firstLineChars="0"/>
      </w:pPr>
      <w:r>
        <w:rPr>
          <w:rFonts w:hint="eastAsia"/>
        </w:rPr>
        <w:t>糖巧专款不得用于其他产品发货，如遇到特殊情况，需上文件转变款项用途。并扣除相应部分客户回款奖励。</w:t>
      </w:r>
    </w:p>
    <w:p>
      <w:pPr>
        <w:pStyle w:val="4"/>
        <w:numPr>
          <w:ilvl w:val="0"/>
          <w:numId w:val="2"/>
        </w:numPr>
        <w:ind w:firstLineChars="0"/>
      </w:pPr>
      <w:r>
        <w:rPr>
          <w:rFonts w:hint="eastAsia"/>
        </w:rPr>
        <w:t>回款奖励政策：</w:t>
      </w:r>
    </w:p>
    <w:tbl>
      <w:tblPr>
        <w:tblStyle w:val="3"/>
        <w:tblW w:w="7820" w:type="dxa"/>
        <w:tblInd w:w="-5" w:type="dxa"/>
        <w:tblLayout w:type="fixed"/>
        <w:tblCellMar>
          <w:top w:w="0" w:type="dxa"/>
          <w:left w:w="108" w:type="dxa"/>
          <w:bottom w:w="0" w:type="dxa"/>
          <w:right w:w="108" w:type="dxa"/>
        </w:tblCellMar>
      </w:tblPr>
      <w:tblGrid>
        <w:gridCol w:w="853"/>
        <w:gridCol w:w="1196"/>
        <w:gridCol w:w="1859"/>
        <w:gridCol w:w="1956"/>
        <w:gridCol w:w="1956"/>
      </w:tblGrid>
      <w:tr>
        <w:tblPrEx>
          <w:tblLayout w:type="fixed"/>
          <w:tblCellMar>
            <w:top w:w="0" w:type="dxa"/>
            <w:left w:w="108" w:type="dxa"/>
            <w:bottom w:w="0" w:type="dxa"/>
            <w:right w:w="108" w:type="dxa"/>
          </w:tblCellMar>
        </w:tblPrEx>
        <w:trPr>
          <w:trHeight w:val="611"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目标</w:t>
            </w:r>
          </w:p>
        </w:tc>
        <w:tc>
          <w:tcPr>
            <w:tcW w:w="1196"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回款</w:t>
            </w:r>
            <w:r>
              <w:rPr>
                <w:rFonts w:ascii="Calibri" w:hAnsi="Calibri" w:eastAsia="等线" w:cs="Calibri"/>
                <w:color w:val="000000"/>
                <w:kern w:val="0"/>
                <w:sz w:val="22"/>
              </w:rPr>
              <w:t>&lt;5</w:t>
            </w:r>
            <w:r>
              <w:rPr>
                <w:rFonts w:hint="eastAsia" w:ascii="等线" w:hAnsi="等线" w:eastAsia="等线" w:cs="宋体"/>
                <w:color w:val="000000"/>
                <w:kern w:val="0"/>
                <w:sz w:val="22"/>
              </w:rPr>
              <w:t>万</w:t>
            </w:r>
          </w:p>
        </w:tc>
        <w:tc>
          <w:tcPr>
            <w:tcW w:w="1859"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5万&lt;=回款</w:t>
            </w:r>
            <w:r>
              <w:rPr>
                <w:rFonts w:ascii="Calibri" w:hAnsi="Calibri" w:eastAsia="等线" w:cs="Calibri"/>
                <w:color w:val="000000"/>
                <w:kern w:val="0"/>
                <w:sz w:val="22"/>
              </w:rPr>
              <w:t>&lt;10</w:t>
            </w:r>
            <w:r>
              <w:rPr>
                <w:rFonts w:hint="eastAsia" w:ascii="等线" w:hAnsi="等线" w:eastAsia="等线" w:cs="宋体"/>
                <w:color w:val="000000"/>
                <w:kern w:val="0"/>
                <w:sz w:val="22"/>
              </w:rPr>
              <w:t>万</w:t>
            </w:r>
          </w:p>
        </w:tc>
        <w:tc>
          <w:tcPr>
            <w:tcW w:w="1956"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10万&lt;=回款</w:t>
            </w:r>
            <w:r>
              <w:rPr>
                <w:rFonts w:ascii="Calibri" w:hAnsi="Calibri" w:eastAsia="等线" w:cs="Calibri"/>
                <w:color w:val="000000"/>
                <w:kern w:val="0"/>
                <w:sz w:val="22"/>
              </w:rPr>
              <w:t>&lt;20</w:t>
            </w:r>
            <w:r>
              <w:rPr>
                <w:rFonts w:hint="eastAsia" w:ascii="宋体" w:hAnsi="宋体" w:eastAsia="宋体" w:cs="宋体"/>
                <w:color w:val="000000"/>
                <w:kern w:val="0"/>
                <w:sz w:val="22"/>
              </w:rPr>
              <w:t>万</w:t>
            </w:r>
          </w:p>
        </w:tc>
        <w:tc>
          <w:tcPr>
            <w:tcW w:w="1956"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20万&lt;=回款</w:t>
            </w:r>
            <w:r>
              <w:rPr>
                <w:rFonts w:ascii="Calibri" w:hAnsi="Calibri" w:eastAsia="等线" w:cs="Calibri"/>
                <w:color w:val="000000"/>
                <w:kern w:val="0"/>
                <w:sz w:val="22"/>
              </w:rPr>
              <w:t>&lt;=30</w:t>
            </w:r>
            <w:r>
              <w:rPr>
                <w:rFonts w:hint="eastAsia" w:ascii="宋体" w:hAnsi="宋体" w:eastAsia="宋体" w:cs="宋体"/>
                <w:color w:val="000000"/>
                <w:kern w:val="0"/>
                <w:sz w:val="22"/>
              </w:rPr>
              <w:t>万</w:t>
            </w:r>
          </w:p>
        </w:tc>
      </w:tr>
      <w:tr>
        <w:tblPrEx>
          <w:tblLayout w:type="fixed"/>
          <w:tblCellMar>
            <w:top w:w="0" w:type="dxa"/>
            <w:left w:w="108" w:type="dxa"/>
            <w:bottom w:w="0" w:type="dxa"/>
            <w:right w:w="108" w:type="dxa"/>
          </w:tblCellMar>
        </w:tblPrEx>
        <w:trPr>
          <w:trHeight w:val="320" w:hRule="atLeast"/>
        </w:trPr>
        <w:tc>
          <w:tcPr>
            <w:tcW w:w="853"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奖励</w:t>
            </w:r>
          </w:p>
        </w:tc>
        <w:tc>
          <w:tcPr>
            <w:tcW w:w="1196" w:type="dxa"/>
            <w:tcBorders>
              <w:top w:val="nil"/>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5%</w:t>
            </w:r>
          </w:p>
        </w:tc>
        <w:tc>
          <w:tcPr>
            <w:tcW w:w="1859" w:type="dxa"/>
            <w:tcBorders>
              <w:top w:val="nil"/>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1956" w:type="dxa"/>
            <w:tcBorders>
              <w:top w:val="nil"/>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w:t>
            </w:r>
          </w:p>
        </w:tc>
        <w:tc>
          <w:tcPr>
            <w:tcW w:w="1956" w:type="dxa"/>
            <w:tcBorders>
              <w:top w:val="nil"/>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9%</w:t>
            </w:r>
          </w:p>
        </w:tc>
      </w:tr>
    </w:tbl>
    <w:p>
      <w:pPr>
        <w:pStyle w:val="4"/>
        <w:numPr>
          <w:ilvl w:val="0"/>
          <w:numId w:val="1"/>
        </w:numPr>
        <w:ind w:firstLineChars="0"/>
      </w:pPr>
      <w:r>
        <w:rPr>
          <w:rFonts w:hint="eastAsia"/>
        </w:rPr>
        <w:t>发货奖励政策：</w:t>
      </w:r>
    </w:p>
    <w:p>
      <w:pPr>
        <w:pStyle w:val="4"/>
        <w:numPr>
          <w:ilvl w:val="0"/>
          <w:numId w:val="3"/>
        </w:numPr>
        <w:ind w:firstLineChars="0"/>
      </w:pPr>
      <w:r>
        <w:rPr>
          <w:rFonts w:hint="eastAsia"/>
        </w:rPr>
        <w:t>发货奖励次月以货款方式上现金账，无需提供核销材料。</w:t>
      </w:r>
    </w:p>
    <w:p>
      <w:pPr>
        <w:pStyle w:val="4"/>
        <w:numPr>
          <w:ilvl w:val="0"/>
          <w:numId w:val="3"/>
        </w:numPr>
        <w:ind w:firstLineChars="0"/>
        <w:rPr>
          <w:rFonts w:hint="eastAsia"/>
        </w:rPr>
      </w:pPr>
      <w:r>
        <w:rPr>
          <w:rFonts w:hint="eastAsia"/>
        </w:rPr>
        <w:t>发货奖励。</w:t>
      </w:r>
    </w:p>
    <w:tbl>
      <w:tblPr>
        <w:tblStyle w:val="3"/>
        <w:tblpPr w:leftFromText="180" w:rightFromText="180" w:vertAnchor="text" w:horzAnchor="margin" w:tblpY="248"/>
        <w:tblW w:w="8440" w:type="dxa"/>
        <w:tblInd w:w="0" w:type="dxa"/>
        <w:tblLayout w:type="fixed"/>
        <w:tblCellMar>
          <w:top w:w="0" w:type="dxa"/>
          <w:left w:w="108" w:type="dxa"/>
          <w:bottom w:w="0" w:type="dxa"/>
          <w:right w:w="108" w:type="dxa"/>
        </w:tblCellMar>
      </w:tblPr>
      <w:tblGrid>
        <w:gridCol w:w="1223"/>
        <w:gridCol w:w="1382"/>
        <w:gridCol w:w="1842"/>
        <w:gridCol w:w="1843"/>
        <w:gridCol w:w="2150"/>
      </w:tblGrid>
      <w:tr>
        <w:tblPrEx>
          <w:tblLayout w:type="fixed"/>
          <w:tblCellMar>
            <w:top w:w="0" w:type="dxa"/>
            <w:left w:w="108" w:type="dxa"/>
            <w:bottom w:w="0" w:type="dxa"/>
            <w:right w:w="108" w:type="dxa"/>
          </w:tblCellMar>
        </w:tblPrEx>
        <w:trPr>
          <w:trHeight w:val="288" w:hRule="atLeast"/>
        </w:trPr>
        <w:tc>
          <w:tcPr>
            <w:tcW w:w="1223"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当月目标</w:t>
            </w:r>
          </w:p>
        </w:tc>
        <w:tc>
          <w:tcPr>
            <w:tcW w:w="1382"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件数</w:t>
            </w:r>
            <w:r>
              <w:rPr>
                <w:rFonts w:ascii="Calibri" w:hAnsi="Calibri" w:eastAsia="等线" w:cs="Calibri"/>
                <w:color w:val="000000"/>
                <w:kern w:val="0"/>
                <w:sz w:val="22"/>
              </w:rPr>
              <w:t>&lt;100</w:t>
            </w:r>
            <w:r>
              <w:rPr>
                <w:rFonts w:hint="eastAsia" w:ascii="等线" w:hAnsi="等线" w:eastAsia="等线" w:cs="宋体"/>
                <w:color w:val="000000"/>
                <w:kern w:val="0"/>
                <w:sz w:val="22"/>
              </w:rPr>
              <w:t>件</w:t>
            </w:r>
          </w:p>
        </w:tc>
        <w:tc>
          <w:tcPr>
            <w:tcW w:w="1842"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100件&lt;=件数</w:t>
            </w:r>
            <w:r>
              <w:rPr>
                <w:rFonts w:ascii="Calibri" w:hAnsi="Calibri" w:eastAsia="等线" w:cs="Calibri"/>
                <w:color w:val="000000"/>
                <w:kern w:val="0"/>
                <w:sz w:val="22"/>
              </w:rPr>
              <w:t>&lt;200</w:t>
            </w:r>
            <w:r>
              <w:rPr>
                <w:rFonts w:hint="eastAsia" w:ascii="等线" w:hAnsi="等线" w:eastAsia="等线" w:cs="宋体"/>
                <w:color w:val="000000"/>
                <w:kern w:val="0"/>
                <w:sz w:val="22"/>
              </w:rPr>
              <w:t>件</w:t>
            </w:r>
          </w:p>
        </w:tc>
        <w:tc>
          <w:tcPr>
            <w:tcW w:w="1843"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200件&lt;=件数</w:t>
            </w:r>
            <w:r>
              <w:rPr>
                <w:rFonts w:ascii="Calibri" w:hAnsi="Calibri" w:eastAsia="等线" w:cs="Calibri"/>
                <w:color w:val="000000"/>
                <w:kern w:val="0"/>
                <w:sz w:val="22"/>
              </w:rPr>
              <w:t>&lt;300</w:t>
            </w:r>
            <w:r>
              <w:rPr>
                <w:rFonts w:hint="eastAsia" w:ascii="等线" w:hAnsi="等线" w:eastAsia="等线" w:cs="宋体"/>
                <w:color w:val="000000"/>
                <w:kern w:val="0"/>
                <w:sz w:val="22"/>
              </w:rPr>
              <w:t>件</w:t>
            </w:r>
          </w:p>
        </w:tc>
        <w:tc>
          <w:tcPr>
            <w:tcW w:w="2150"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300件&lt;=件数</w:t>
            </w:r>
            <w:r>
              <w:rPr>
                <w:rFonts w:ascii="Calibri" w:hAnsi="Calibri" w:eastAsia="等线" w:cs="Calibri"/>
                <w:color w:val="000000"/>
                <w:kern w:val="0"/>
                <w:sz w:val="22"/>
              </w:rPr>
              <w:t>&lt;500</w:t>
            </w:r>
            <w:r>
              <w:rPr>
                <w:rFonts w:hint="eastAsia" w:ascii="等线" w:hAnsi="等线" w:eastAsia="等线" w:cs="宋体"/>
                <w:color w:val="000000"/>
                <w:kern w:val="0"/>
                <w:sz w:val="22"/>
              </w:rPr>
              <w:t>件</w:t>
            </w:r>
          </w:p>
        </w:tc>
      </w:tr>
      <w:tr>
        <w:tblPrEx>
          <w:tblLayout w:type="fixed"/>
          <w:tblCellMar>
            <w:top w:w="0" w:type="dxa"/>
            <w:left w:w="108" w:type="dxa"/>
            <w:bottom w:w="0" w:type="dxa"/>
            <w:right w:w="108" w:type="dxa"/>
          </w:tblCellMar>
        </w:tblPrEx>
        <w:trPr>
          <w:trHeight w:val="276" w:hRule="atLeast"/>
        </w:trPr>
        <w:tc>
          <w:tcPr>
            <w:tcW w:w="1223"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当月奖励</w:t>
            </w:r>
          </w:p>
        </w:tc>
        <w:tc>
          <w:tcPr>
            <w:tcW w:w="1382" w:type="dxa"/>
            <w:tcBorders>
              <w:top w:val="nil"/>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r>
              <w:rPr>
                <w:rFonts w:hint="eastAsia" w:ascii="等线" w:hAnsi="等线" w:eastAsia="等线" w:cs="宋体"/>
                <w:color w:val="000000"/>
                <w:kern w:val="0"/>
                <w:sz w:val="22"/>
                <w:lang w:val="en-US" w:eastAsia="zh-CN"/>
              </w:rPr>
              <w:t>1</w:t>
            </w:r>
            <w:r>
              <w:rPr>
                <w:rFonts w:hint="eastAsia" w:ascii="等线" w:hAnsi="等线" w:eastAsia="等线" w:cs="宋体"/>
                <w:color w:val="000000"/>
                <w:kern w:val="0"/>
                <w:sz w:val="22"/>
              </w:rPr>
              <w:t>%</w:t>
            </w:r>
          </w:p>
        </w:tc>
        <w:tc>
          <w:tcPr>
            <w:tcW w:w="1842" w:type="dxa"/>
            <w:tcBorders>
              <w:top w:val="nil"/>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r>
              <w:rPr>
                <w:rFonts w:hint="eastAsia" w:ascii="等线" w:hAnsi="等线" w:eastAsia="等线" w:cs="宋体"/>
                <w:color w:val="000000"/>
                <w:kern w:val="0"/>
                <w:sz w:val="22"/>
                <w:lang w:val="en-US" w:eastAsia="zh-CN"/>
              </w:rPr>
              <w:t>6</w:t>
            </w:r>
            <w:r>
              <w:rPr>
                <w:rFonts w:hint="eastAsia" w:ascii="等线" w:hAnsi="等线" w:eastAsia="等线" w:cs="宋体"/>
                <w:color w:val="000000"/>
                <w:kern w:val="0"/>
                <w:sz w:val="22"/>
              </w:rPr>
              <w:t>%</w:t>
            </w:r>
          </w:p>
        </w:tc>
        <w:tc>
          <w:tcPr>
            <w:tcW w:w="1843" w:type="dxa"/>
            <w:tcBorders>
              <w:top w:val="nil"/>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r>
              <w:rPr>
                <w:rFonts w:hint="eastAsia" w:ascii="等线" w:hAnsi="等线" w:eastAsia="等线" w:cs="宋体"/>
                <w:color w:val="000000"/>
                <w:kern w:val="0"/>
                <w:sz w:val="22"/>
                <w:lang w:val="en-US" w:eastAsia="zh-CN"/>
              </w:rPr>
              <w:t>1</w:t>
            </w:r>
            <w:r>
              <w:rPr>
                <w:rFonts w:hint="eastAsia" w:ascii="等线" w:hAnsi="等线" w:eastAsia="等线" w:cs="宋体"/>
                <w:color w:val="000000"/>
                <w:kern w:val="0"/>
                <w:sz w:val="22"/>
              </w:rPr>
              <w:t>%</w:t>
            </w:r>
          </w:p>
        </w:tc>
        <w:tc>
          <w:tcPr>
            <w:tcW w:w="2150" w:type="dxa"/>
            <w:tcBorders>
              <w:top w:val="nil"/>
              <w:left w:val="nil"/>
              <w:bottom w:val="single" w:color="auto" w:sz="4" w:space="0"/>
              <w:right w:val="single" w:color="auto" w:sz="4" w:space="0"/>
            </w:tcBorders>
            <w:shd w:val="clear" w:color="auto" w:fill="auto"/>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2</w:t>
            </w:r>
            <w:r>
              <w:rPr>
                <w:rFonts w:hint="eastAsia" w:ascii="等线" w:hAnsi="等线" w:eastAsia="等线" w:cs="宋体"/>
                <w:color w:val="000000"/>
                <w:kern w:val="0"/>
                <w:sz w:val="22"/>
                <w:lang w:val="en-US" w:eastAsia="zh-CN"/>
              </w:rPr>
              <w:t>6</w:t>
            </w:r>
            <w:r>
              <w:rPr>
                <w:rFonts w:hint="eastAsia" w:ascii="等线" w:hAnsi="等线" w:eastAsia="等线" w:cs="宋体"/>
                <w:color w:val="000000"/>
                <w:kern w:val="0"/>
                <w:sz w:val="22"/>
              </w:rPr>
              <w:t>%</w:t>
            </w:r>
          </w:p>
        </w:tc>
      </w:tr>
    </w:tbl>
    <w:p>
      <w:pPr>
        <w:pStyle w:val="4"/>
        <w:numPr>
          <w:ilvl w:val="0"/>
          <w:numId w:val="0"/>
        </w:numPr>
        <w:ind w:leftChars="0"/>
      </w:pPr>
    </w:p>
    <w:p>
      <w:pPr>
        <w:pStyle w:val="4"/>
        <w:numPr>
          <w:ilvl w:val="0"/>
          <w:numId w:val="1"/>
        </w:numPr>
        <w:ind w:firstLineChars="0"/>
      </w:pPr>
      <w:r>
        <w:rPr>
          <w:rFonts w:hint="eastAsia"/>
        </w:rPr>
        <w:t>糖果每次发货100件（包含100件）以上，巧克力每次发货100件包含100件）以上，物流费用公司承担。发货低于100件，公司承担客户所在地运费，短途转运费由客户承担。</w:t>
      </w:r>
      <w:bookmarkStart w:id="1" w:name="_GoBack"/>
      <w:bookmarkEnd w:id="1"/>
    </w:p>
    <w:p>
      <w:pPr>
        <w:pStyle w:val="4"/>
        <w:numPr>
          <w:ilvl w:val="0"/>
          <w:numId w:val="1"/>
        </w:numPr>
        <w:ind w:firstLineChars="0"/>
      </w:pPr>
      <w:r>
        <w:rPr>
          <w:rFonts w:hint="eastAsia"/>
        </w:rPr>
        <w:t>牛轧糖只计算销量，可享受回款奖励，不享受发货奖励。</w:t>
      </w:r>
    </w:p>
    <w:p>
      <w:pPr>
        <w:pStyle w:val="4"/>
        <w:numPr>
          <w:ilvl w:val="0"/>
          <w:numId w:val="1"/>
        </w:numPr>
        <w:ind w:firstLineChars="0"/>
      </w:pPr>
      <w:r>
        <w:rPr>
          <w:rFonts w:hint="eastAsia"/>
        </w:rPr>
        <w:t>糖果非质量问题，不接受退换货；巧克力可按照出货10%的比例给予退货，退货要求整箱未拆封；其他特殊情况需签呈批复后方可执行。</w:t>
      </w:r>
    </w:p>
    <w:p>
      <w:pPr>
        <w:pStyle w:val="4"/>
        <w:numPr>
          <w:ilvl w:val="0"/>
          <w:numId w:val="1"/>
        </w:numPr>
        <w:ind w:firstLineChars="0"/>
      </w:pPr>
      <w:r>
        <w:rPr>
          <w:rFonts w:hint="eastAsia"/>
        </w:rPr>
        <w:t>客户截至2019.01.31，客户发货累计达到300件，给予销售额1%的返利，给予上现金帐；客户发货累计达到500件，给予销售额2%的返利，给予上现金帐；客户发货累计达到1000件及以上，给予销售额3%的返利，给予上现金帐；以上费用与2019年2月5日之前给予上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6E92"/>
    <w:multiLevelType w:val="multilevel"/>
    <w:tmpl w:val="10676E92"/>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1">
    <w:nsid w:val="687479AE"/>
    <w:multiLevelType w:val="multilevel"/>
    <w:tmpl w:val="687479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E764C4A"/>
    <w:multiLevelType w:val="multilevel"/>
    <w:tmpl w:val="7E764C4A"/>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2E"/>
    <w:rsid w:val="001145EF"/>
    <w:rsid w:val="001D03A2"/>
    <w:rsid w:val="002B0A20"/>
    <w:rsid w:val="002E112E"/>
    <w:rsid w:val="003A4280"/>
    <w:rsid w:val="008325EE"/>
    <w:rsid w:val="00B91BBE"/>
    <w:rsid w:val="00BC776F"/>
    <w:rsid w:val="00C03718"/>
    <w:rsid w:val="00D7674F"/>
    <w:rsid w:val="00E73162"/>
    <w:rsid w:val="00E77953"/>
    <w:rsid w:val="00FC40E4"/>
    <w:rsid w:val="58E45806"/>
    <w:rsid w:val="6B602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135</Words>
  <Characters>776</Characters>
  <Lines>6</Lines>
  <Paragraphs>1</Paragraphs>
  <TotalTime>1</TotalTime>
  <ScaleCrop>false</ScaleCrop>
  <LinksUpToDate>false</LinksUpToDate>
  <CharactersWithSpaces>910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2018-09-12T09:04:00Z</dcterms:created>
  <dc:creator>xushengju</dc:creator>
  <cp:lastModifiedBy>想飞老虎</cp:lastModifiedBy>
  <dcterms:modified xsi:type="dcterms:W3CDTF">2018-09-29T15:05:59Z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